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75D1283" w14:textId="77777777" w:rsidR="007C5F25" w:rsidRDefault="007C5F25" w:rsidP="007C5F2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5F25">
        <w:rPr>
          <w:rFonts w:ascii="TH SarabunPSK" w:hAnsi="TH SarabunPSK" w:cs="TH SarabunPSK" w:hint="cs"/>
          <w:sz w:val="32"/>
          <w:szCs w:val="32"/>
          <w:cs/>
        </w:rPr>
        <w:t>น้ำบาดาลเป็นแหล่งน้ำต้นทุนที่มีความสำคัญในทุกภาคส่วน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ไม่ว่าจะเป็นการใช้น้ำเพื่อการอุปโภคบริโภค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น้ำอุตสาหกรรมและน้ำเพื่อการเกษตรกรรม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โดยเฉพาะในช่วงที่แหล่งน้ำผิวดินไม่ว่าจะเป็นน้ำจากระบบชลประทาน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หรือน้ำจากสระเก็บน้ำไม่เพียงพอในช่วงหน้าแล้ง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สำหรับบริเวณพื้นที่ภาคกลางตอนบนของประเทศไทยในพื้นที่ชลประทาน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มีการทำนาทั้งนาปี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นาปรัง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ซึ่งประสบกับการขาดแคลนน้ำที่ใช้โดยเฉพาะในช่วงแล้ง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เกษตรกรได้ขุดเจาะบ่อน้ำบาดาลเป็นแหล่งน้ำสำรองในยามที่น้ำผิวดินขาดแคลน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น้ำบาดาลในบริเวณนี้มีศักยภาพที่จะนำมาใช้ไม่ต่ำกว่าปีละกว่า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7C5F25">
        <w:rPr>
          <w:rFonts w:ascii="TH SarabunPSK" w:hAnsi="TH SarabunPSK" w:cs="TH SarabunPSK"/>
          <w:sz w:val="32"/>
          <w:szCs w:val="32"/>
        </w:rPr>
        <w:t>,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ล้านลูกบาศก์เมตร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2556)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กรมทรัพยากรน้ำบาดาลโดยสำนักอนุรักษ์และฟื้นฟูทรัพยากรน้ำบาดาล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ได้ดำเนินโครงการระบบติดตามสถานการณ์น้ำบาดาล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เพื่อใช้เป็นเครื่องมือในการติดตามตรวจสอบและเฝ้าระวังการเปลี่ยนแปลงของปริมาณและคุณภาพน้ำบาดาล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พร้อมทั้งดำเนินการประเมินผลกระทบต่อแหล่งน้ำบาดาลจากการสูบใช้น้ำบาดาลระดับตื้นขึ้นมาใช้ในการเกษตรแต่ก็ไม่ได้ดำเนินการวิเคราะห์จัดทำแบบจำลองเพื่อประเมินปริมาณน้ำในสถานการณ์น้ำแบบต่าง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ๆ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กรมทรัพยากรน้ำบาดาล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2561)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เนื่องจากไม่สามารถระบุปริมาณที่สามารถนำมาใช้ได้อย่างมั่นใจ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อันเนื่องมาจากยังไม่มีการพัฒนาระบบการประเมินสภาพปริมาณน้ำบาดาลและบริหารจัดการตามสภาพปีน้ำ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ซึ่งสิ่งนี้จะเป็นเครื่องมือที่สำคัญสำหรับกรมทรัพยากรน้ำบาดาล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ในการรู้สภาพปริมาณน้ำที่สามารถนำมาใช้ได้และจะโยงให้กรมชลประทาน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สามารถมีความชัดเจนในการนำน้ำต้นทุนจากแหล่งน้ำบาดาลมาใช้ในการบริหารจัดการได้</w:t>
      </w:r>
    </w:p>
    <w:p w14:paraId="19C27972" w14:textId="04B91FAA" w:rsidR="00310107" w:rsidRPr="00310107" w:rsidRDefault="007C5F25" w:rsidP="007C5F2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5F25">
        <w:rPr>
          <w:rFonts w:ascii="TH SarabunPSK" w:hAnsi="TH SarabunPSK" w:cs="TH SarabunPSK" w:hint="cs"/>
          <w:sz w:val="32"/>
          <w:szCs w:val="32"/>
          <w:cs/>
        </w:rPr>
        <w:t>งานวิจัยนี้จึงมุ่งเน้นในการพัฒนาเครื่องมือและเทคโนโลยีประกอบด้วย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ส่วนหลัก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ๆ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C5F25">
        <w:rPr>
          <w:rFonts w:ascii="TH SarabunPSK" w:hAnsi="TH SarabunPSK" w:cs="TH SarabunPSK"/>
          <w:sz w:val="32"/>
          <w:szCs w:val="32"/>
        </w:rPr>
        <w:t>1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การพัฒนาระบบการจัดการน้ำบาดาลเพื่อเพิ่มประสิทธิภาพระบบปฏิบัติการบริหารจัดการน้ำร่วมกับน้ำผิวดิน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เพื่อลดความเสียหายของพื้นที่เกษตรกรรมที่ขาดแคลนน้ำในภาวะน้ำแล้งได้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F25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7C5F25">
        <w:rPr>
          <w:rFonts w:ascii="TH SarabunPSK" w:hAnsi="TH SarabunPSK" w:cs="TH SarabunPSK" w:hint="cs"/>
          <w:sz w:val="32"/>
          <w:szCs w:val="32"/>
          <w:cs/>
        </w:rPr>
        <w:t>การพัฒนาเทคโนโลยีการบริหารจัดการรูปแบบและแนวทางการจัดการเพื่อให้น้ำบาดาลกลับมาสู่ระดับที่ต้องการเมื่อปลายฝน</w:t>
      </w:r>
    </w:p>
    <w:p w14:paraId="15C046C8" w14:textId="3DDB7369" w:rsidR="004D3739" w:rsidRDefault="004D3739" w:rsidP="007C5F25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5F25" w:rsidRPr="007C5F25">
        <w:rPr>
          <w:rFonts w:ascii="TH SarabunPSK" w:hAnsi="TH SarabunPSK" w:cs="TH SarabunPSK" w:hint="cs"/>
          <w:sz w:val="32"/>
          <w:szCs w:val="32"/>
          <w:cs/>
        </w:rPr>
        <w:t>แบบจำลองน้ำบาดาล</w:t>
      </w:r>
      <w:r w:rsidR="007C5F25"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F25" w:rsidRPr="007C5F25">
        <w:rPr>
          <w:rFonts w:ascii="TH SarabunPSK" w:hAnsi="TH SarabunPSK" w:cs="TH SarabunPSK" w:hint="cs"/>
          <w:sz w:val="32"/>
          <w:szCs w:val="32"/>
          <w:cs/>
        </w:rPr>
        <w:t>การจัดการน้ำบาดาล</w:t>
      </w:r>
      <w:r w:rsidR="007C5F25" w:rsidRPr="007C5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F25" w:rsidRPr="007C5F25">
        <w:rPr>
          <w:rFonts w:ascii="TH SarabunPSK" w:hAnsi="TH SarabunPSK" w:cs="TH SarabunPSK" w:hint="cs"/>
          <w:sz w:val="32"/>
          <w:szCs w:val="32"/>
          <w:cs/>
        </w:rPr>
        <w:t>การบริหารน้ำบาดาลร่วมกับน้ำผิวดิน</w:t>
      </w:r>
    </w:p>
    <w:p w14:paraId="45416654" w14:textId="77777777" w:rsidR="000B4869" w:rsidRPr="004D373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01D053C" w14:textId="77777777" w:rsidR="00310107" w:rsidRDefault="0031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DC91EF" w14:textId="4028965B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68201C7" w14:textId="77777777" w:rsidR="007C5F25" w:rsidRDefault="007C5F25" w:rsidP="007C5F2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7C5F25">
        <w:rPr>
          <w:rFonts w:ascii="Times New Roman" w:hAnsi="Times New Roman" w:cs="Times New Roman"/>
          <w:sz w:val="24"/>
          <w:szCs w:val="24"/>
        </w:rPr>
        <w:t>Groundwater is an important water resource to every water use sector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consumption, industry and agriculture, particularly during the time when the surface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resources supplied from irrigation systems and storage ponds are inadequate in the 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seasons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7C5F25">
        <w:rPr>
          <w:rFonts w:ascii="Times New Roman" w:hAnsi="Times New Roman" w:cs="Times New Roman"/>
          <w:sz w:val="24"/>
          <w:szCs w:val="24"/>
        </w:rPr>
        <w:t>In the upper central region of Thailand, the irrigation areas having rice cropping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both in wet and dry seasons have encountered water deficit particularly in the dry seasons</w:t>
      </w:r>
      <w:r w:rsidRPr="007C5F25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The farmers have dug the groundwater wells as an alternative water resource to be 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during inadequate surface water resource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7C5F25">
        <w:rPr>
          <w:rFonts w:ascii="Times New Roman" w:hAnsi="Times New Roman" w:cs="Times New Roman"/>
          <w:sz w:val="24"/>
          <w:szCs w:val="24"/>
        </w:rPr>
        <w:t>This region has a potential groundwater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resource to be used annually not less than 1,000 million cu</w:t>
      </w:r>
      <w:r w:rsidRPr="007C5F25">
        <w:rPr>
          <w:rFonts w:ascii="Times New Roman" w:hAnsi="Times New Roman" w:cs="Times New Roman"/>
          <w:sz w:val="24"/>
          <w:szCs w:val="24"/>
          <w:cs/>
        </w:rPr>
        <w:t>.</w:t>
      </w:r>
      <w:r w:rsidRPr="007C5F25">
        <w:rPr>
          <w:rFonts w:ascii="Times New Roman" w:hAnsi="Times New Roman" w:cs="Times New Roman"/>
          <w:sz w:val="24"/>
          <w:szCs w:val="24"/>
        </w:rPr>
        <w:t>m</w:t>
      </w:r>
      <w:r w:rsidRPr="007C5F25">
        <w:rPr>
          <w:rFonts w:ascii="Times New Roman" w:hAnsi="Times New Roman" w:cs="Times New Roman"/>
          <w:sz w:val="24"/>
          <w:szCs w:val="24"/>
          <w:cs/>
        </w:rPr>
        <w:t>.(</w:t>
      </w:r>
      <w:r w:rsidRPr="007C5F25">
        <w:rPr>
          <w:rFonts w:ascii="Times New Roman" w:hAnsi="Times New Roman" w:cs="Times New Roman"/>
          <w:sz w:val="24"/>
          <w:szCs w:val="24"/>
        </w:rPr>
        <w:t>Chulalongkorn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2013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7C5F25">
        <w:rPr>
          <w:rFonts w:ascii="Times New Roman" w:hAnsi="Times New Roman" w:cs="Times New Roman"/>
          <w:sz w:val="24"/>
          <w:szCs w:val="24"/>
        </w:rPr>
        <w:t>Department of Groundwater Resources by Bureau of Groundwater Conservation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Rehabilitation managed the groundwater monitoring system project to be used as a tool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to monitor and assess the change of groundwater quantity and quality and assess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impact on the groundwater due to pumping groundwater from the shallow wells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agriculture but without developing groundwater modelling to assess the groundwater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 xml:space="preserve">quantity in various water scenarios </w:t>
      </w:r>
      <w:r w:rsidRPr="007C5F25">
        <w:rPr>
          <w:rFonts w:ascii="Times New Roman" w:hAnsi="Times New Roman" w:cs="Times New Roman"/>
          <w:sz w:val="24"/>
          <w:szCs w:val="24"/>
          <w:cs/>
        </w:rPr>
        <w:t>(</w:t>
      </w:r>
      <w:r w:rsidRPr="007C5F25">
        <w:rPr>
          <w:rFonts w:ascii="Times New Roman" w:hAnsi="Times New Roman" w:cs="Times New Roman"/>
          <w:sz w:val="24"/>
          <w:szCs w:val="24"/>
        </w:rPr>
        <w:t>Department of Groundwater Resources, 2018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). </w:t>
      </w:r>
      <w:r w:rsidRPr="007C5F25">
        <w:rPr>
          <w:rFonts w:ascii="Times New Roman" w:hAnsi="Times New Roman" w:cs="Times New Roman"/>
          <w:sz w:val="24"/>
          <w:szCs w:val="24"/>
        </w:rPr>
        <w:t>Since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is unable to determine the groundwater quantity at sufficient confidence due to not 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existing a groundwater management system to assess and manage groundwater according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to each water year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7C5F25">
        <w:rPr>
          <w:rFonts w:ascii="Times New Roman" w:hAnsi="Times New Roman" w:cs="Times New Roman"/>
          <w:sz w:val="24"/>
          <w:szCs w:val="24"/>
        </w:rPr>
        <w:t>This groundwater management system will serve as an important tool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for the Department of Groundwater Resources to determine the available groundwater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use and connect the information to the Royal Irrigation Department to know clearly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availability of groundwater resources for conjunctive use water management</w:t>
      </w:r>
      <w:r w:rsidRPr="007C5F25">
        <w:rPr>
          <w:rFonts w:ascii="Times New Roman" w:hAnsi="Times New Roman" w:cs="Times New Roman"/>
          <w:sz w:val="24"/>
          <w:szCs w:val="24"/>
          <w:cs/>
        </w:rPr>
        <w:t>.</w:t>
      </w:r>
      <w:r w:rsidR="00310107" w:rsidRPr="00310107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14:paraId="70BDA4D6" w14:textId="23A1DDE3" w:rsidR="007C5F25" w:rsidRDefault="007C5F25" w:rsidP="007C5F2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7C5F25">
        <w:rPr>
          <w:rFonts w:ascii="Times New Roman" w:hAnsi="Times New Roman" w:cs="Times New Roman"/>
          <w:sz w:val="24"/>
          <w:szCs w:val="24"/>
        </w:rPr>
        <w:t>This research focuses to develop tools and technology containing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components as 1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7C5F25">
        <w:rPr>
          <w:rFonts w:ascii="Times New Roman" w:hAnsi="Times New Roman" w:cs="Times New Roman"/>
          <w:sz w:val="24"/>
          <w:szCs w:val="24"/>
        </w:rPr>
        <w:t>develop a groundwater management system to increase efficiency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water management system for conjunctive use with surface water in order to 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damage to agricultural areas due to water deficit and 2</w:t>
      </w:r>
      <w:r w:rsidRPr="007C5F25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7C5F25">
        <w:rPr>
          <w:rFonts w:ascii="Times New Roman" w:hAnsi="Times New Roman" w:cs="Times New Roman"/>
          <w:sz w:val="24"/>
          <w:szCs w:val="24"/>
        </w:rPr>
        <w:t>develop technology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groundwater recharge method to recover the groundwater quantity back to the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F25">
        <w:rPr>
          <w:rFonts w:ascii="Times New Roman" w:hAnsi="Times New Roman" w:cs="Times New Roman"/>
          <w:sz w:val="24"/>
          <w:szCs w:val="24"/>
        </w:rPr>
        <w:t>level at the end of wet season</w:t>
      </w:r>
      <w:r w:rsidRPr="007C5F25">
        <w:rPr>
          <w:rFonts w:ascii="Times New Roman" w:hAnsi="Times New Roman" w:cs="Times New Roman"/>
          <w:sz w:val="24"/>
          <w:szCs w:val="24"/>
          <w:cs/>
        </w:rPr>
        <w:t>.</w:t>
      </w:r>
    </w:p>
    <w:p w14:paraId="09D1778D" w14:textId="77777777" w:rsidR="007C5F25" w:rsidRPr="00310107" w:rsidRDefault="007C5F25" w:rsidP="007C5F25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7C5F25" w:rsidRPr="0031010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B697" w14:textId="77777777" w:rsidR="006A7F31" w:rsidRDefault="006A7F31" w:rsidP="00B55C88">
      <w:pPr>
        <w:spacing w:after="0" w:line="240" w:lineRule="auto"/>
      </w:pPr>
      <w:r>
        <w:separator/>
      </w:r>
    </w:p>
  </w:endnote>
  <w:endnote w:type="continuationSeparator" w:id="0">
    <w:p w14:paraId="3EB512A4" w14:textId="77777777" w:rsidR="006A7F31" w:rsidRDefault="006A7F31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833E" w14:textId="77777777" w:rsidR="006A7F31" w:rsidRDefault="006A7F31" w:rsidP="00B55C88">
      <w:pPr>
        <w:spacing w:after="0" w:line="240" w:lineRule="auto"/>
      </w:pPr>
      <w:r>
        <w:separator/>
      </w:r>
    </w:p>
  </w:footnote>
  <w:footnote w:type="continuationSeparator" w:id="0">
    <w:p w14:paraId="538D958E" w14:textId="77777777" w:rsidR="006A7F31" w:rsidRDefault="006A7F31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445CEAED" w:rsidR="00B55C88" w:rsidRDefault="007C5F25" w:rsidP="007C5F25">
    <w:pPr>
      <w:pStyle w:val="Header"/>
    </w:pPr>
    <w:r w:rsidRPr="007C5F25">
      <w:rPr>
        <w:rFonts w:ascii="TH SarabunPSK" w:hAnsi="TH SarabunPSK" w:cs="TH SarabunPSK"/>
        <w:sz w:val="20"/>
        <w:szCs w:val="24"/>
        <w:cs/>
      </w:rPr>
      <w:t>การพัฒนาระบบการจัดการน้ำบาดาลเพื่อเพิ่มประสิทธิภาพระบบการบริหารจัดการน้ำร่วมกับน้ำผิวดิน</w:t>
    </w:r>
  </w:p>
  <w:p w14:paraId="1C72E046" w14:textId="4053A1F4" w:rsidR="007C5F25" w:rsidRPr="007C5F25" w:rsidRDefault="007C5F25" w:rsidP="007C5F25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8"/>
      </w:rPr>
    </w:pPr>
    <w:r w:rsidRPr="007C5F25">
      <w:rPr>
        <w:rFonts w:ascii="Times New Roman" w:hAnsi="Times New Roman" w:cs="Times New Roman"/>
        <w:kern w:val="0"/>
        <w:sz w:val="20"/>
        <w:szCs w:val="20"/>
      </w:rPr>
      <w:t>The development of groundwater management system to improve</w:t>
    </w:r>
    <w:r w:rsidRPr="007C5F25">
      <w:rPr>
        <w:rFonts w:ascii="Times New Roman" w:hAnsi="Times New Roman" w:cs="Times New Roman"/>
        <w:kern w:val="0"/>
        <w:sz w:val="20"/>
        <w:szCs w:val="20"/>
      </w:rPr>
      <w:t xml:space="preserve"> </w:t>
    </w:r>
    <w:r w:rsidRPr="007C5F25">
      <w:rPr>
        <w:rFonts w:ascii="Times New Roman" w:hAnsi="Times New Roman" w:cs="Times New Roman"/>
        <w:kern w:val="0"/>
        <w:sz w:val="20"/>
        <w:szCs w:val="20"/>
      </w:rPr>
      <w:t>conjunctive use water management system</w:t>
    </w:r>
    <w:r w:rsidRPr="007C5F25">
      <w:rPr>
        <w:rFonts w:ascii="Times New Roman" w:hAnsi="Times New Roman" w:cs="Times New Roman"/>
        <w:kern w:val="0"/>
        <w:sz w:val="20"/>
        <w:szCs w:val="20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54416"/>
    <w:rsid w:val="002D152C"/>
    <w:rsid w:val="00310107"/>
    <w:rsid w:val="00402AF5"/>
    <w:rsid w:val="004D3739"/>
    <w:rsid w:val="005771FB"/>
    <w:rsid w:val="00665B1F"/>
    <w:rsid w:val="006A377C"/>
    <w:rsid w:val="006A7F31"/>
    <w:rsid w:val="007C5F25"/>
    <w:rsid w:val="008B5558"/>
    <w:rsid w:val="00B20878"/>
    <w:rsid w:val="00B55C88"/>
    <w:rsid w:val="00E82EB4"/>
    <w:rsid w:val="00EE11C3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13</cp:revision>
  <dcterms:created xsi:type="dcterms:W3CDTF">2023-07-24T08:43:00Z</dcterms:created>
  <dcterms:modified xsi:type="dcterms:W3CDTF">2023-07-24T16:24:00Z</dcterms:modified>
</cp:coreProperties>
</file>