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444F8EDE" w14:textId="7F102F78" w:rsidR="000B4869" w:rsidRDefault="003E661F" w:rsidP="003E661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E661F">
        <w:rPr>
          <w:rFonts w:ascii="TH SarabunPSK" w:hAnsi="TH SarabunPSK" w:cs="TH SarabunPSK" w:hint="cs"/>
          <w:sz w:val="32"/>
          <w:szCs w:val="32"/>
          <w:cs/>
        </w:rPr>
        <w:t>น้ำบาดาลเป็นแหล่งน้ำต้นทุนที่มีความสำคัญในทุกภาคส่วน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ไม่ว่าจะเป็นการใช้น้ำเพื่อการอุปโภคบริโภค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น้ำอุตสาหกรรม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และน้ำเพื่อการเกษตรกรรม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โดยเฉพาะในช่วงที่แหล่งน้ำผิวดินไม่ว่าจะเป็นน้ำจากระบบชลประทาน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หรือน้ำจากสระเก็บน้ำไม่เพียงพอในช่วงหน้าแล้ง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สำหรับบริเวณพื้นที่ด้านเหนือของที่ราบภาคกลางตอนล่างของประเทศไทยในพื้นที่ชลประทาน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มีการทำนาทั้งนาปีและนาปรัง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ซึ่งประสบกับการขาดแคลนน้ำที่ใช้โดยเฉพาะในช่วงฤดูแล้ง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เกษตรกรได้ขุดเจาะบ่อน้ำบาดาลเป็นแหล่งน้ำสำรองในยามที่น้ำผิวดินขาดแคลนน้ำบาดาลในบริเวณนี้มีศักยภาพที่จะนำมาใช้ไม่ต่ำกว่าปีละ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661F">
        <w:rPr>
          <w:rFonts w:ascii="TH SarabunPSK" w:hAnsi="TH SarabunPSK" w:cs="TH SarabunPSK"/>
          <w:sz w:val="32"/>
          <w:szCs w:val="32"/>
        </w:rPr>
        <w:t>600</w:t>
      </w:r>
      <w:r w:rsidRPr="003E661F">
        <w:rPr>
          <w:rFonts w:ascii="TH SarabunPSK" w:hAnsi="TH SarabunPSK" w:cs="TH SarabunPSK"/>
          <w:sz w:val="32"/>
          <w:szCs w:val="32"/>
          <w:cs/>
        </w:rPr>
        <w:t>-</w:t>
      </w:r>
      <w:r w:rsidRPr="003E661F">
        <w:rPr>
          <w:rFonts w:ascii="TH SarabunPSK" w:hAnsi="TH SarabunPSK" w:cs="TH SarabunPSK"/>
          <w:sz w:val="32"/>
          <w:szCs w:val="32"/>
        </w:rPr>
        <w:t>800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ลบ</w:t>
      </w:r>
      <w:r w:rsidRPr="003E661F">
        <w:rPr>
          <w:rFonts w:ascii="TH SarabunPSK" w:hAnsi="TH SarabunPSK" w:cs="TH SarabunPSK"/>
          <w:sz w:val="32"/>
          <w:szCs w:val="32"/>
          <w:cs/>
        </w:rPr>
        <w:t>.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ม</w:t>
      </w:r>
      <w:r w:rsidRPr="003E661F">
        <w:rPr>
          <w:rFonts w:ascii="TH SarabunPSK" w:hAnsi="TH SarabunPSK" w:cs="TH SarabunPSK"/>
          <w:sz w:val="32"/>
          <w:szCs w:val="32"/>
          <w:cs/>
        </w:rPr>
        <w:t>. (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/>
          <w:sz w:val="32"/>
          <w:szCs w:val="32"/>
        </w:rPr>
        <w:t>2558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กรมทรัพยากรน้ำบาดาลโดยสำนักอนุรักษ์และฟื้นฟูทรัพยากรน้ำบาดาล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ได้ดำเนินโครงการระบบติดตามสถานการณ์น้ำบาดาล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เพื่อใช้เป็นเครื่องมือในการติดตามตรวจสอบและเฝ้าระวังการเปลี่ยนแปลงของปริมาณและคุณภาพน้ำบาดาล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พร้อมทั้งดำเนินการประเมินผลกระทบต่อแหล่งน้ำบาดาลจากการสูบใช้น้ำบาดาลระดับตื้นขึ้นมาใช้ในการเกษตรแต่ก็ไม่ได้ดำเนินการวิเคราะห์จัดทำแบบจำลองเพื่อประเมินปริมาณน้ำในสถานการณ์น้ำแบบ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/>
          <w:sz w:val="32"/>
          <w:szCs w:val="32"/>
          <w:cs/>
        </w:rPr>
        <w:t>(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กรมทรัพยากรน้ำบาดาล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/>
          <w:sz w:val="32"/>
          <w:szCs w:val="32"/>
        </w:rPr>
        <w:t>2561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เนื่องจากไม่สามารถระบุปริมาณที่สามารถนำมาใช้ได้อย่างมั่นใจอันเนื่องมาจากยังไม่มีการพัฒนาระบบการประเมินสภาพปริมาณน้ำบาดาลและบริหารจัดการตามสภาพปีน้ำ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ซึ่งสิ่งนี้จะเป็นเครื่องมือที่สำคัญสำหรับกรมทรัพยากรน้ำบาดาลในการรู้สภาพปริมาณน้ำที่สามารถนำมาใช้ได้และจะประสานเชื่อมโยงให้กรมชลประทานสามารถมีความชัดเจนในการนำน้ำต้นทุนจากแหล่งน้ำบาดาลมาใช้ในการบริหารจัดการน้ำร่วมกับน้ำผิวดินได้อย่างเหมาะสมและยั่งยืน</w:t>
      </w:r>
    </w:p>
    <w:p w14:paraId="7ACDB80B" w14:textId="519E1F71" w:rsidR="003E661F" w:rsidRDefault="003E661F" w:rsidP="003E661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E661F">
        <w:rPr>
          <w:rFonts w:ascii="TH SarabunPSK" w:hAnsi="TH SarabunPSK" w:cs="TH SarabunPSK" w:hint="cs"/>
          <w:sz w:val="32"/>
          <w:szCs w:val="32"/>
          <w:cs/>
        </w:rPr>
        <w:t>งานวิจัยนี้จึงมุ่งเน้นในการพัฒนาเครื่องมือและเทคโนโลยีประกอบด้วย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ส่วนหลัก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ๆ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661F">
        <w:rPr>
          <w:rFonts w:ascii="TH SarabunPSK" w:hAnsi="TH SarabunPSK" w:cs="TH SarabunPSK"/>
          <w:sz w:val="32"/>
          <w:szCs w:val="32"/>
        </w:rPr>
        <w:t>1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การพัฒนาระบบการจัดการน้ำบาดาล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เพื่อประเมินหาศักยภาพน้ำบาดาลสำหรับการวางแผนเพื่อเพิ่มประสิทธิภาพระบบปฏิบัติการบริหารจัดการน้ำร่วมกับน้ำผิวดิน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เพื่อลดความเสียหายของพื้นที่เกษตรกรรมที่ขาดแคลนน้ำในภาวะน้ำแล้งได้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รูปแบบการใช้น้ำบาดาลร่วมกับน้ำผิวดินที่เหมาะสมตามสภาพระดับน้ำบาดาลและน้ำในเขื่อน</w:t>
      </w:r>
    </w:p>
    <w:p w14:paraId="2F06AC1C" w14:textId="2FA49CC3" w:rsidR="003E661F" w:rsidRDefault="003E661F" w:rsidP="003E661F">
      <w:pPr>
        <w:ind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E661F">
        <w:rPr>
          <w:rFonts w:ascii="TH SarabunPSK" w:hAnsi="TH SarabunPSK" w:cs="TH SarabunPSK" w:hint="cs"/>
          <w:sz w:val="32"/>
          <w:szCs w:val="32"/>
          <w:cs/>
        </w:rPr>
        <w:t>พื้นที่ศึกษาได้แก่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พื้นที่ด้านเหนือของที่ราบภาคกลางตอนล่างโดยพิจารณาจากสภาพอุทกธรณีวิทยาของชั้นน้ำใต้ดิน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จะประกอบด้วยจังหวัดชัยนาท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ลพบุรี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อ่างทอง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พระนครศรีอยุธยา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661F">
        <w:rPr>
          <w:rFonts w:ascii="TH SarabunPSK" w:hAnsi="TH SarabunPSK" w:cs="TH SarabunPSK"/>
          <w:sz w:val="32"/>
          <w:szCs w:val="32"/>
          <w:cs/>
        </w:rPr>
        <w:t>(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บางส่วน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สุพรรณบุรี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บางส่วน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และสระบุรี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บางส่วน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และพื้นที่ศึกษาระดับโครงการตัวอย่าง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โครงการส่งน้ำและบำรุงรักษาชัณสูตรพื้นที่ชลประทานรวม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454,313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ไร่แบ่งพื้นที่เป็น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7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ฝ่ายส่งน้ำอยู่ในพื้นที่จังหวัดชัยนาท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อ่างทอง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พระนครศรีอยุธยา</w:t>
      </w:r>
      <w:r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661F">
        <w:rPr>
          <w:rFonts w:ascii="TH SarabunPSK" w:hAnsi="TH SarabunPSK" w:cs="TH SarabunPSK" w:hint="cs"/>
          <w:sz w:val="32"/>
          <w:szCs w:val="32"/>
          <w:cs/>
        </w:rPr>
        <w:t>และสุพรรณบุรี</w:t>
      </w:r>
    </w:p>
    <w:p w14:paraId="45416654" w14:textId="77777777" w:rsidR="000B486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A9065DC" w14:textId="1C070A7A" w:rsidR="00402AF5" w:rsidRDefault="000B4869" w:rsidP="003E661F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661F" w:rsidRPr="003E661F">
        <w:rPr>
          <w:rFonts w:ascii="TH SarabunPSK" w:hAnsi="TH SarabunPSK" w:cs="TH SarabunPSK" w:hint="cs"/>
          <w:sz w:val="32"/>
          <w:szCs w:val="32"/>
          <w:cs/>
        </w:rPr>
        <w:t>แบบจำลองน้ำบาดาล</w:t>
      </w:r>
      <w:r w:rsidR="003E661F"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661F" w:rsidRPr="003E661F">
        <w:rPr>
          <w:rFonts w:ascii="TH SarabunPSK" w:hAnsi="TH SarabunPSK" w:cs="TH SarabunPSK" w:hint="cs"/>
          <w:sz w:val="32"/>
          <w:szCs w:val="32"/>
          <w:cs/>
        </w:rPr>
        <w:t>ศักยภาพน้ำบาดาล</w:t>
      </w:r>
      <w:r w:rsidR="003E661F"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661F" w:rsidRPr="003E661F">
        <w:rPr>
          <w:rFonts w:ascii="TH SarabunPSK" w:hAnsi="TH SarabunPSK" w:cs="TH SarabunPSK" w:hint="cs"/>
          <w:sz w:val="32"/>
          <w:szCs w:val="32"/>
          <w:cs/>
        </w:rPr>
        <w:t>การจัดการน้ำบาดาล</w:t>
      </w:r>
      <w:r w:rsidR="003E661F" w:rsidRPr="003E6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661F" w:rsidRPr="003E661F">
        <w:rPr>
          <w:rFonts w:ascii="TH SarabunPSK" w:hAnsi="TH SarabunPSK" w:cs="TH SarabunPSK" w:hint="cs"/>
          <w:sz w:val="32"/>
          <w:szCs w:val="32"/>
          <w:cs/>
        </w:rPr>
        <w:t>การบริหารน้ำบาดาลร่วมกับน้ำผิวดินด้านเหนือของที่ราบภาคกลางตอนล่าง</w:t>
      </w:r>
      <w:r w:rsidR="00402AF5">
        <w:rPr>
          <w:rFonts w:ascii="TH SarabunPSK" w:hAnsi="TH SarabunPSK" w:cs="TH SarabunPSK"/>
          <w:sz w:val="32"/>
          <w:szCs w:val="32"/>
        </w:rPr>
        <w:br w:type="page"/>
      </w:r>
    </w:p>
    <w:p w14:paraId="1DDC91EF" w14:textId="59C18189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34E9BDCF" w14:textId="27406732" w:rsidR="000B4869" w:rsidRDefault="003E661F" w:rsidP="003E661F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3E661F">
        <w:rPr>
          <w:rFonts w:ascii="Times New Roman" w:hAnsi="Times New Roman" w:cs="Times New Roman"/>
          <w:sz w:val="24"/>
          <w:szCs w:val="24"/>
        </w:rPr>
        <w:t>Groundwater is an important water recource to every water use sector such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comsumptive use, industrial use and agricultural use particularly during the period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the surface water resource from iriigation water or storage pond is insufficient in dry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seasons</w:t>
      </w:r>
      <w:r w:rsidRPr="003E661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E661F">
        <w:rPr>
          <w:rFonts w:ascii="Times New Roman" w:hAnsi="Times New Roman" w:cs="Times New Roman"/>
          <w:sz w:val="24"/>
          <w:szCs w:val="24"/>
        </w:rPr>
        <w:t>In the north of lower central region of Thailand in irrigation areas, there are rice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cropping activities both in wet and dry seasons,encountering water shortage particularly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in dry seasons</w:t>
      </w:r>
      <w:r w:rsidRPr="003E661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E661F">
        <w:rPr>
          <w:rFonts w:ascii="Times New Roman" w:hAnsi="Times New Roman" w:cs="Times New Roman"/>
          <w:sz w:val="24"/>
          <w:szCs w:val="24"/>
        </w:rPr>
        <w:t>The farmers dug groundwater wells to be water reserve during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surface water is shortage</w:t>
      </w:r>
      <w:r w:rsidRPr="003E661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E661F">
        <w:rPr>
          <w:rFonts w:ascii="Times New Roman" w:hAnsi="Times New Roman" w:cs="Times New Roman"/>
          <w:sz w:val="24"/>
          <w:szCs w:val="24"/>
        </w:rPr>
        <w:t>It is found that the potential groundwater in this region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developed for uses amounts on annual average not less than 600</w:t>
      </w:r>
      <w:r w:rsidRPr="003E661F">
        <w:rPr>
          <w:rFonts w:ascii="Times New Roman" w:hAnsi="Times New Roman" w:cs="Times New Roman"/>
          <w:sz w:val="24"/>
          <w:szCs w:val="24"/>
          <w:cs/>
        </w:rPr>
        <w:t>-</w:t>
      </w:r>
      <w:r w:rsidRPr="003E661F">
        <w:rPr>
          <w:rFonts w:ascii="Times New Roman" w:hAnsi="Times New Roman" w:cs="Times New Roman"/>
          <w:sz w:val="24"/>
          <w:szCs w:val="24"/>
        </w:rPr>
        <w:t>800 million cu</w:t>
      </w:r>
      <w:r w:rsidRPr="003E661F">
        <w:rPr>
          <w:rFonts w:ascii="Times New Roman" w:hAnsi="Times New Roman" w:cs="Times New Roman"/>
          <w:sz w:val="24"/>
          <w:szCs w:val="24"/>
          <w:cs/>
        </w:rPr>
        <w:t>.</w:t>
      </w:r>
      <w:r w:rsidRPr="003E661F">
        <w:rPr>
          <w:rFonts w:ascii="Times New Roman" w:hAnsi="Times New Roman" w:cs="Times New Roman"/>
          <w:sz w:val="24"/>
          <w:szCs w:val="24"/>
        </w:rPr>
        <w:t>m</w:t>
      </w:r>
      <w:r w:rsidRPr="003E661F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  <w:cs/>
        </w:rPr>
        <w:t>(</w:t>
      </w:r>
      <w:r w:rsidRPr="003E661F">
        <w:rPr>
          <w:rFonts w:ascii="Times New Roman" w:hAnsi="Times New Roman" w:cs="Times New Roman"/>
          <w:sz w:val="24"/>
          <w:szCs w:val="24"/>
        </w:rPr>
        <w:t>Chulalongkorn university, 2015</w:t>
      </w:r>
      <w:r w:rsidRPr="003E661F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3E661F">
        <w:rPr>
          <w:rFonts w:ascii="Times New Roman" w:hAnsi="Times New Roman" w:cs="Times New Roman"/>
          <w:sz w:val="24"/>
          <w:szCs w:val="24"/>
        </w:rPr>
        <w:t>Department of groundwater resource, by Office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groundwater resource conservation and rehabilitation, set up the project of 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groundwater conditions, to check and watch out the change of groundwater quantity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and quanlity, including the impact assessment of groundwater pumping from shallow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wells</w:t>
      </w:r>
      <w:r w:rsidRPr="003E661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E661F">
        <w:rPr>
          <w:rFonts w:ascii="Times New Roman" w:hAnsi="Times New Roman" w:cs="Times New Roman"/>
          <w:sz w:val="24"/>
          <w:szCs w:val="24"/>
        </w:rPr>
        <w:t>However, the development of groundwater modeling for estimating groundwater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quantities in various scenarios is not done</w:t>
      </w:r>
      <w:r w:rsidRPr="003E661F">
        <w:rPr>
          <w:rFonts w:ascii="Times New Roman" w:hAnsi="Times New Roman" w:cs="Times New Roman"/>
          <w:sz w:val="24"/>
          <w:szCs w:val="24"/>
          <w:cs/>
        </w:rPr>
        <w:t>(</w:t>
      </w:r>
      <w:r w:rsidRPr="003E661F">
        <w:rPr>
          <w:rFonts w:ascii="Times New Roman" w:hAnsi="Times New Roman" w:cs="Times New Roman"/>
          <w:sz w:val="24"/>
          <w:szCs w:val="24"/>
        </w:rPr>
        <w:t>Department of groundwater resource, 2018</w:t>
      </w:r>
      <w:r w:rsidRPr="003E661F">
        <w:rPr>
          <w:rFonts w:ascii="Times New Roman" w:hAnsi="Times New Roman" w:cs="Times New Roman"/>
          <w:sz w:val="24"/>
          <w:szCs w:val="24"/>
          <w:cs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This situation causes unable to estimate the groundwater quantity to be developed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use with reliability due to lack of developing a system for estimating groundwater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quantity and management according to water year types</w:t>
      </w:r>
      <w:r w:rsidRPr="003E661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E661F">
        <w:rPr>
          <w:rFonts w:ascii="Times New Roman" w:hAnsi="Times New Roman" w:cs="Times New Roman"/>
          <w:sz w:val="24"/>
          <w:szCs w:val="24"/>
        </w:rPr>
        <w:t>This system, if developed,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will be an important tool for Department of groundwater resource to estimate available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groundwater for use and then coordinate with Royal irrigation department to set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a clear condition in providing groundwater to be conjunctive use with surface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appropriately and sustainably</w:t>
      </w:r>
      <w:r w:rsidRPr="003E661F">
        <w:rPr>
          <w:rFonts w:ascii="Times New Roman" w:hAnsi="Times New Roman" w:cs="Times New Roman"/>
          <w:sz w:val="24"/>
          <w:szCs w:val="24"/>
          <w:cs/>
        </w:rPr>
        <w:t>.</w:t>
      </w:r>
    </w:p>
    <w:p w14:paraId="04FEF7EB" w14:textId="2A766D8F" w:rsidR="003E661F" w:rsidRPr="003E661F" w:rsidRDefault="003E661F" w:rsidP="003E661F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3E661F">
        <w:rPr>
          <w:rFonts w:ascii="Times New Roman" w:hAnsi="Times New Roman" w:cs="Times New Roman"/>
          <w:sz w:val="24"/>
          <w:szCs w:val="24"/>
        </w:rPr>
        <w:t>This research aims to develop a tool and technology containing 2 components</w:t>
      </w:r>
    </w:p>
    <w:p w14:paraId="367F6CE0" w14:textId="37059773" w:rsidR="003E661F" w:rsidRDefault="003E661F" w:rsidP="003E661F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3E661F">
        <w:rPr>
          <w:rFonts w:ascii="Times New Roman" w:hAnsi="Times New Roman" w:cs="Times New Roman"/>
          <w:sz w:val="24"/>
          <w:szCs w:val="24"/>
        </w:rPr>
        <w:t>1</w:t>
      </w:r>
      <w:r w:rsidRPr="003E661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E661F">
        <w:rPr>
          <w:rFonts w:ascii="Times New Roman" w:hAnsi="Times New Roman" w:cs="Times New Roman"/>
          <w:sz w:val="24"/>
          <w:szCs w:val="24"/>
        </w:rPr>
        <w:t>Develop a groundwater management system for estimating potential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groundwater and planning for improving water management in conjunctive use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surface water to reduce damage of agricultural areas due to water shortage in dry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seasons</w:t>
      </w:r>
      <w:r w:rsidRPr="003E661F">
        <w:rPr>
          <w:rFonts w:ascii="Times New Roman" w:hAnsi="Times New Roman" w:cs="Times New Roman"/>
          <w:sz w:val="24"/>
          <w:szCs w:val="24"/>
          <w:cs/>
        </w:rPr>
        <w:t>.</w:t>
      </w:r>
    </w:p>
    <w:p w14:paraId="0BC48511" w14:textId="4DEC9563" w:rsidR="003E661F" w:rsidRDefault="003E661F" w:rsidP="003E661F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3E661F">
        <w:rPr>
          <w:rFonts w:ascii="Times New Roman" w:hAnsi="Times New Roman" w:cs="Times New Roman"/>
          <w:sz w:val="24"/>
          <w:szCs w:val="24"/>
        </w:rPr>
        <w:t>2</w:t>
      </w:r>
      <w:r w:rsidRPr="003E661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E661F">
        <w:rPr>
          <w:rFonts w:ascii="Times New Roman" w:hAnsi="Times New Roman" w:cs="Times New Roman"/>
          <w:sz w:val="24"/>
          <w:szCs w:val="24"/>
        </w:rPr>
        <w:t>Develop appropriate conjunctive use with surface water according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groundwater conditions and water quantity in reservoirs</w:t>
      </w:r>
      <w:r w:rsidRPr="003E661F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The study area is the north of lower central region considering groundwater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hydrogeology covering 7 provinces as Chainat, Singburi, Lopburi, Angthong, Ayutthaya,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Suphanburi and Saraburi</w:t>
      </w:r>
      <w:r w:rsidRPr="003E661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E661F">
        <w:rPr>
          <w:rFonts w:ascii="Times New Roman" w:hAnsi="Times New Roman" w:cs="Times New Roman"/>
          <w:sz w:val="24"/>
          <w:szCs w:val="24"/>
        </w:rPr>
        <w:t>Also, the study area on one irrigation project example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Channasutre irrigation project covering area of 454,313 rais containing 7 water zones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F">
        <w:rPr>
          <w:rFonts w:ascii="Times New Roman" w:hAnsi="Times New Roman" w:cs="Times New Roman"/>
          <w:sz w:val="24"/>
          <w:szCs w:val="24"/>
        </w:rPr>
        <w:t>locating in the provinces of Chainat, Singburi, Angthong, Ayutthaya and Suphanburi</w:t>
      </w:r>
      <w:r w:rsidRPr="003E661F">
        <w:rPr>
          <w:rFonts w:ascii="Times New Roman" w:hAnsi="Times New Roman" w:cs="Times New Roman"/>
          <w:sz w:val="24"/>
          <w:szCs w:val="24"/>
          <w:cs/>
        </w:rPr>
        <w:t>.</w:t>
      </w:r>
    </w:p>
    <w:p w14:paraId="398ED21A" w14:textId="77777777" w:rsidR="008B5558" w:rsidRDefault="008B5558" w:rsidP="000B4869">
      <w:pPr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5EA3EFDF" w14:textId="47B72DF8" w:rsidR="000B4869" w:rsidRDefault="000B4869" w:rsidP="003E661F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B48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661F" w:rsidRPr="003E661F">
        <w:rPr>
          <w:rFonts w:ascii="Times New Roman" w:hAnsi="Times New Roman" w:cs="Times New Roman"/>
          <w:sz w:val="24"/>
          <w:szCs w:val="24"/>
        </w:rPr>
        <w:t>groundwater model, groundwater management, conjunctive use of</w:t>
      </w:r>
      <w:r w:rsidR="003E661F">
        <w:rPr>
          <w:rFonts w:ascii="Times New Roman" w:hAnsi="Times New Roman" w:cs="Times New Roman"/>
          <w:sz w:val="24"/>
          <w:szCs w:val="24"/>
        </w:rPr>
        <w:t xml:space="preserve"> </w:t>
      </w:r>
      <w:r w:rsidR="003E661F" w:rsidRPr="003E661F">
        <w:rPr>
          <w:rFonts w:ascii="Times New Roman" w:hAnsi="Times New Roman" w:cs="Times New Roman"/>
          <w:sz w:val="24"/>
          <w:szCs w:val="24"/>
        </w:rPr>
        <w:t>groundwater and surface water, the north of the lower central plain</w:t>
      </w:r>
    </w:p>
    <w:p w14:paraId="0052026E" w14:textId="77777777" w:rsidR="000B4869" w:rsidRDefault="000B4869" w:rsidP="000B486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0B486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F847" w14:textId="77777777" w:rsidR="005C5CDB" w:rsidRDefault="005C5CDB" w:rsidP="00B55C88">
      <w:pPr>
        <w:spacing w:after="0" w:line="240" w:lineRule="auto"/>
      </w:pPr>
      <w:r>
        <w:separator/>
      </w:r>
    </w:p>
  </w:endnote>
  <w:endnote w:type="continuationSeparator" w:id="0">
    <w:p w14:paraId="300AB7CE" w14:textId="77777777" w:rsidR="005C5CDB" w:rsidRDefault="005C5CDB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D220" w14:textId="77777777" w:rsidR="005C5CDB" w:rsidRDefault="005C5CDB" w:rsidP="00B55C88">
      <w:pPr>
        <w:spacing w:after="0" w:line="240" w:lineRule="auto"/>
      </w:pPr>
      <w:r>
        <w:separator/>
      </w:r>
    </w:p>
  </w:footnote>
  <w:footnote w:type="continuationSeparator" w:id="0">
    <w:p w14:paraId="50248893" w14:textId="77777777" w:rsidR="005C5CDB" w:rsidRDefault="005C5CDB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13BF" w14:textId="22ADD1A1" w:rsidR="003E661F" w:rsidRPr="003E661F" w:rsidRDefault="003E661F" w:rsidP="003E661F">
    <w:pPr>
      <w:pStyle w:val="Header"/>
      <w:rPr>
        <w:rFonts w:ascii="TH SarabunPSK" w:hAnsi="TH SarabunPSK" w:cs="TH SarabunPSK"/>
        <w:sz w:val="20"/>
        <w:szCs w:val="24"/>
      </w:rPr>
    </w:pPr>
    <w:r w:rsidRPr="003E661F">
      <w:rPr>
        <w:rFonts w:ascii="TH SarabunPSK" w:hAnsi="TH SarabunPSK" w:cs="TH SarabunPSK"/>
        <w:sz w:val="20"/>
        <w:szCs w:val="24"/>
        <w:cs/>
      </w:rPr>
      <w:t>การพัฒนาระบบการจัดการน้ำบาดาลสำหรับการวางแผนเพื่อเพิ่มประสิทธิภาพ</w:t>
    </w:r>
    <w:r>
      <w:rPr>
        <w:rFonts w:ascii="TH SarabunPSK" w:hAnsi="TH SarabunPSK" w:cs="TH SarabunPSK"/>
        <w:sz w:val="20"/>
        <w:szCs w:val="24"/>
      </w:rPr>
      <w:t xml:space="preserve"> </w:t>
    </w:r>
    <w:r w:rsidRPr="003E661F">
      <w:rPr>
        <w:rFonts w:ascii="TH SarabunPSK" w:hAnsi="TH SarabunPSK" w:cs="TH SarabunPSK"/>
        <w:sz w:val="20"/>
        <w:szCs w:val="24"/>
        <w:cs/>
      </w:rPr>
      <w:t>การบริหารจัดการน้ำร่วมกับน้ำผิวดินบริเวณด้านเหนือของที่ราบภาคกลางตอนล่าง</w:t>
    </w:r>
  </w:p>
  <w:p w14:paraId="1A3F42F5" w14:textId="4502D75E" w:rsidR="00191EEE" w:rsidRPr="003E661F" w:rsidRDefault="003E661F" w:rsidP="003E661F">
    <w:pPr>
      <w:pStyle w:val="Header"/>
      <w:rPr>
        <w:rFonts w:ascii="Times New Roman" w:hAnsi="Times New Roman" w:cs="Times New Roman"/>
      </w:rPr>
    </w:pPr>
    <w:r w:rsidRPr="003E661F">
      <w:rPr>
        <w:rFonts w:ascii="Times New Roman" w:hAnsi="Times New Roman" w:cs="Times New Roman"/>
        <w:sz w:val="20"/>
        <w:szCs w:val="24"/>
      </w:rPr>
      <w:t>The Development of groundwater management system for planning</w:t>
    </w:r>
    <w:r>
      <w:rPr>
        <w:rFonts w:ascii="Times New Roman" w:hAnsi="Times New Roman" w:cs="Times New Roman"/>
        <w:sz w:val="20"/>
        <w:szCs w:val="24"/>
      </w:rPr>
      <w:t xml:space="preserve"> </w:t>
    </w:r>
    <w:r w:rsidRPr="003E661F">
      <w:rPr>
        <w:rFonts w:ascii="Times New Roman" w:hAnsi="Times New Roman" w:cs="Times New Roman"/>
        <w:sz w:val="20"/>
        <w:szCs w:val="24"/>
      </w:rPr>
      <w:t>improvement to improve conjunctive use water management in the</w:t>
    </w:r>
    <w:r>
      <w:rPr>
        <w:rFonts w:ascii="Times New Roman" w:hAnsi="Times New Roman" w:cs="Times New Roman"/>
        <w:sz w:val="20"/>
        <w:szCs w:val="24"/>
      </w:rPr>
      <w:t xml:space="preserve"> </w:t>
    </w:r>
    <w:r w:rsidRPr="003E661F">
      <w:rPr>
        <w:rFonts w:ascii="Times New Roman" w:hAnsi="Times New Roman" w:cs="Times New Roman"/>
        <w:sz w:val="20"/>
        <w:szCs w:val="24"/>
      </w:rPr>
      <w:t>north of the lower central plain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191EEE"/>
    <w:rsid w:val="002D152C"/>
    <w:rsid w:val="003E661F"/>
    <w:rsid w:val="00402AF5"/>
    <w:rsid w:val="005771FB"/>
    <w:rsid w:val="005C5CDB"/>
    <w:rsid w:val="00665B1F"/>
    <w:rsid w:val="006A377C"/>
    <w:rsid w:val="008B5558"/>
    <w:rsid w:val="009F5B74"/>
    <w:rsid w:val="00B20878"/>
    <w:rsid w:val="00B55C88"/>
    <w:rsid w:val="00E82EB4"/>
    <w:rsid w:val="00E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12</cp:revision>
  <dcterms:created xsi:type="dcterms:W3CDTF">2023-07-24T08:43:00Z</dcterms:created>
  <dcterms:modified xsi:type="dcterms:W3CDTF">2023-07-25T03:52:00Z</dcterms:modified>
</cp:coreProperties>
</file>